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3" w:rsidRPr="00CD6CA3" w:rsidRDefault="00CD6CA3" w:rsidP="00F20579">
      <w:pPr>
        <w:pStyle w:val="a3"/>
        <w:jc w:val="center"/>
        <w:textAlignment w:val="top"/>
        <w:rPr>
          <w:color w:val="231F20"/>
          <w:sz w:val="28"/>
          <w:szCs w:val="28"/>
        </w:rPr>
      </w:pPr>
      <w:r w:rsidRPr="00CD6CA3">
        <w:rPr>
          <w:rStyle w:val="a4"/>
          <w:color w:val="231F20"/>
          <w:sz w:val="28"/>
          <w:szCs w:val="28"/>
        </w:rPr>
        <w:t>Статья 18. Право на охрану здоровья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1. Каждый имеет право на охрану здоровья.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rStyle w:val="a4"/>
          <w:color w:val="231F20"/>
          <w:sz w:val="28"/>
          <w:szCs w:val="28"/>
        </w:rPr>
        <w:t>Статья 19. Право на медицинскую помощь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1. Каждый имеет право на медицинскую помощь.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 xml:space="preserve">5. Пациент имеет право </w:t>
      </w:r>
      <w:proofErr w:type="gramStart"/>
      <w:r w:rsidRPr="00CD6CA3">
        <w:rPr>
          <w:color w:val="231F20"/>
          <w:sz w:val="28"/>
          <w:szCs w:val="28"/>
        </w:rPr>
        <w:t>на</w:t>
      </w:r>
      <w:proofErr w:type="gramEnd"/>
      <w:r w:rsidRPr="00CD6CA3">
        <w:rPr>
          <w:color w:val="231F20"/>
          <w:sz w:val="28"/>
          <w:szCs w:val="28"/>
        </w:rPr>
        <w:t>: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3) получение консультаций врачей-специалистов;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lastRenderedPageBreak/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7) защиту сведений, составляющих врачебную тайну;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8) отказ от медицинского вмешательства;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10) допуск к нему адвоката или законного представителя для защиты своих прав;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rStyle w:val="a4"/>
          <w:color w:val="231F20"/>
          <w:sz w:val="28"/>
          <w:szCs w:val="28"/>
        </w:rPr>
        <w:t>Статья 27. Обязанности граждан в сфере охраны здоровья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1. Граждане обязаны заботиться о сохранении своего здоровья.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color w:val="231F20"/>
          <w:sz w:val="28"/>
          <w:szCs w:val="28"/>
        </w:rPr>
        <w:t>3. Граждане, находящиеся на лечении, 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организациях.</w:t>
      </w:r>
    </w:p>
    <w:p w:rsidR="00CD6CA3" w:rsidRPr="00CD6CA3" w:rsidRDefault="00CD6CA3" w:rsidP="00CD6CA3">
      <w:pPr>
        <w:pStyle w:val="a3"/>
        <w:jc w:val="both"/>
        <w:textAlignment w:val="top"/>
        <w:rPr>
          <w:color w:val="231F20"/>
          <w:sz w:val="28"/>
          <w:szCs w:val="28"/>
        </w:rPr>
      </w:pPr>
      <w:r w:rsidRPr="00CD6CA3">
        <w:rPr>
          <w:rStyle w:val="a5"/>
          <w:color w:val="231F20"/>
          <w:sz w:val="28"/>
          <w:szCs w:val="28"/>
        </w:rPr>
        <w:t>Более подробную информацию можно получить из ФЗ №323 от 21 ноября 2011 года, глава 4.</w:t>
      </w:r>
    </w:p>
    <w:p w:rsidR="000E2E87" w:rsidRPr="00CD6CA3" w:rsidRDefault="000E2E87" w:rsidP="00CD6C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E87" w:rsidRPr="00CD6CA3" w:rsidSect="000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D6CA3"/>
    <w:rsid w:val="000475F0"/>
    <w:rsid w:val="000E2E87"/>
    <w:rsid w:val="001F02C2"/>
    <w:rsid w:val="00CD6CA3"/>
    <w:rsid w:val="00DA024C"/>
    <w:rsid w:val="00F2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A3"/>
    <w:rPr>
      <w:b/>
      <w:bCs/>
    </w:rPr>
  </w:style>
  <w:style w:type="character" w:styleId="a5">
    <w:name w:val="Emphasis"/>
    <w:basedOn w:val="a0"/>
    <w:uiPriority w:val="20"/>
    <w:qFormat/>
    <w:rsid w:val="00CD6C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6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2017-03-16T08:51:00Z</dcterms:created>
  <dcterms:modified xsi:type="dcterms:W3CDTF">2017-03-16T08:57:00Z</dcterms:modified>
</cp:coreProperties>
</file>